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035BF" w14:textId="7F4419DF" w:rsidR="00D425B3" w:rsidRPr="00FE0C3A" w:rsidRDefault="00D425B3" w:rsidP="00D425B3">
      <w:pPr>
        <w:pStyle w:val="NormalnyWeb"/>
        <w:jc w:val="center"/>
        <w:rPr>
          <w:b/>
          <w:bCs/>
          <w:color w:val="000000"/>
          <w:sz w:val="27"/>
          <w:szCs w:val="27"/>
        </w:rPr>
      </w:pPr>
      <w:r w:rsidRPr="00FE0C3A">
        <w:rPr>
          <w:b/>
          <w:bCs/>
          <w:color w:val="000000"/>
          <w:sz w:val="27"/>
          <w:szCs w:val="27"/>
        </w:rPr>
        <w:t xml:space="preserve">Matryca (do wniosku TYPU </w:t>
      </w:r>
      <w:r w:rsidR="00DA7EC4">
        <w:rPr>
          <w:b/>
          <w:bCs/>
          <w:color w:val="000000"/>
          <w:sz w:val="27"/>
          <w:szCs w:val="27"/>
        </w:rPr>
        <w:t>B</w:t>
      </w:r>
      <w:r w:rsidRPr="00FE0C3A">
        <w:rPr>
          <w:b/>
          <w:bCs/>
          <w:color w:val="000000"/>
          <w:sz w:val="27"/>
          <w:szCs w:val="27"/>
        </w:rPr>
        <w:t>)</w:t>
      </w:r>
    </w:p>
    <w:p w14:paraId="035AD308" w14:textId="77777777" w:rsidR="00D425B3" w:rsidRPr="00FE0C3A" w:rsidRDefault="00D425B3" w:rsidP="00D425B3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adekwatności zrealizowanego programu przez kandydata z zakresem wiedzy wymaganym przez Komisję Egzaminacyjną</w:t>
      </w:r>
      <w:r>
        <w:rPr>
          <w:color w:val="000000"/>
          <w:sz w:val="22"/>
          <w:szCs w:val="22"/>
        </w:rPr>
        <w:t xml:space="preserve"> </w:t>
      </w:r>
      <w:r w:rsidRPr="00FE0C3A">
        <w:rPr>
          <w:color w:val="000000"/>
          <w:sz w:val="22"/>
          <w:szCs w:val="22"/>
        </w:rPr>
        <w:t>w postępowaniu kwalifikacyjnym</w:t>
      </w:r>
    </w:p>
    <w:p w14:paraId="4E5E89EF" w14:textId="77777777" w:rsidR="00D425B3" w:rsidRPr="00FE0C3A" w:rsidRDefault="00D425B3" w:rsidP="00D425B3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(na podstawie: Uchwały Nr 1695/34/2026 Krajowej Rady Biegłych Rewidentów z dnia 27 stycznia 2026 r. w sprawie szczegółowego zakresu tematycznego egzaminów uwzględniającego dziedziny, o których mowa w art. 14 ust. 1 i 2 ustawy o biegłych rewidentach, firmach audytorskich oraz nadzorze publicznym)</w:t>
      </w:r>
    </w:p>
    <w:p w14:paraId="5B8439B3" w14:textId="77777777" w:rsidR="00054663" w:rsidRDefault="00054663" w:rsidP="00860A5B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6AEC117A" w14:textId="0956194D" w:rsidR="005C7C1A" w:rsidRPr="00AC57DA" w:rsidRDefault="00054663" w:rsidP="00860A5B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pl-PL"/>
        </w:rPr>
      </w:pPr>
      <w:r w:rsidRPr="00AC57DA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pl-PL"/>
        </w:rPr>
        <w:t>Teoria i zasady rachunkowości</w:t>
      </w:r>
    </w:p>
    <w:p w14:paraId="528C84F4" w14:textId="7B407EE8" w:rsidR="00C23397" w:rsidRDefault="005C7C1A" w:rsidP="00860A5B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615002">
        <w:rPr>
          <w:rFonts w:ascii="Times New Roman" w:eastAsia="Times New Roman" w:hAnsi="Times New Roman" w:cs="Times New Roman"/>
          <w:sz w:val="16"/>
          <w:szCs w:val="16"/>
          <w:lang w:eastAsia="pl-PL"/>
        </w:rPr>
        <w:t>(nazwa egzaminu z wiedzy w postępowaniu kwalifikacyjnym)</w:t>
      </w:r>
    </w:p>
    <w:p w14:paraId="0286B4F5" w14:textId="77777777" w:rsidR="008B7479" w:rsidRDefault="008B7479" w:rsidP="00860A5B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3A3424F4" w14:textId="77777777" w:rsidR="008B10E8" w:rsidRDefault="008B10E8" w:rsidP="00860A5B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Style w:val="Tabela-Siatka1"/>
        <w:tblW w:w="1559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486"/>
        <w:gridCol w:w="3736"/>
        <w:gridCol w:w="3686"/>
        <w:gridCol w:w="3685"/>
      </w:tblGrid>
      <w:tr w:rsidR="00E24B13" w:rsidRPr="0047045D" w14:paraId="67BD949F" w14:textId="77777777" w:rsidTr="00E24B13">
        <w:trPr>
          <w:trHeight w:val="420"/>
          <w:tblHeader/>
        </w:trPr>
        <w:tc>
          <w:tcPr>
            <w:tcW w:w="4486" w:type="dxa"/>
            <w:vMerge w:val="restart"/>
            <w:shd w:val="clear" w:color="auto" w:fill="E2EFD9" w:themeFill="accent6" w:themeFillTint="33"/>
            <w:vAlign w:val="center"/>
          </w:tcPr>
          <w:p w14:paraId="4B70A471" w14:textId="77777777" w:rsidR="00E24B13" w:rsidRPr="004C0732" w:rsidRDefault="00E24B13" w:rsidP="008A2B6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4C073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Zakres wymaganej wiedzy</w:t>
            </w:r>
          </w:p>
        </w:tc>
        <w:tc>
          <w:tcPr>
            <w:tcW w:w="11107" w:type="dxa"/>
            <w:gridSpan w:val="3"/>
            <w:shd w:val="clear" w:color="auto" w:fill="E2EFD9" w:themeFill="accent6" w:themeFillTint="33"/>
            <w:vAlign w:val="center"/>
          </w:tcPr>
          <w:p w14:paraId="47B43762" w14:textId="0D457D57" w:rsidR="00E24B13" w:rsidRPr="00E24B13" w:rsidRDefault="00E24B13" w:rsidP="00E24B1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24B1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Tematy znajdujące odzwierciedlenie w programach z danego przedmiotu</w:t>
            </w:r>
          </w:p>
        </w:tc>
      </w:tr>
      <w:tr w:rsidR="00E11EBE" w:rsidRPr="0047045D" w14:paraId="0C3E2F51" w14:textId="77777777" w:rsidTr="00E24B13">
        <w:trPr>
          <w:trHeight w:val="668"/>
          <w:tblHeader/>
        </w:trPr>
        <w:tc>
          <w:tcPr>
            <w:tcW w:w="4486" w:type="dxa"/>
            <w:vMerge/>
            <w:shd w:val="clear" w:color="auto" w:fill="E2EFD9" w:themeFill="accent6" w:themeFillTint="33"/>
            <w:vAlign w:val="center"/>
          </w:tcPr>
          <w:p w14:paraId="6EFB98C9" w14:textId="77777777" w:rsidR="00E11EBE" w:rsidRPr="0047045D" w:rsidRDefault="00E11EBE" w:rsidP="008A2B6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  <w:shd w:val="clear" w:color="auto" w:fill="E2EFD9" w:themeFill="accent6" w:themeFillTint="33"/>
          </w:tcPr>
          <w:p w14:paraId="45214EFB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9DFC5AE" w14:textId="366A547E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</w:t>
            </w:r>
            <w:r w:rsidR="00E24B13">
              <w:rPr>
                <w:rFonts w:ascii="Times New Roman" w:eastAsia="Calibri" w:hAnsi="Times New Roman" w:cs="Times New Roman"/>
                <w:sz w:val="20"/>
                <w:szCs w:val="20"/>
              </w:rPr>
              <w:t>…………….</w:t>
            </w:r>
          </w:p>
          <w:p w14:paraId="08AF7D87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18"/>
                <w:szCs w:val="18"/>
              </w:rPr>
              <w:t>Nazwa przedmiotu</w:t>
            </w:r>
            <w:r w:rsidR="003374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uczelnianego</w:t>
            </w:r>
          </w:p>
          <w:p w14:paraId="4F6F6B4D" w14:textId="77777777" w:rsidR="000E15FA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007438DA" w14:textId="2C14BDF4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20"/>
                <w:szCs w:val="16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adekwatnie do zakresu wymaganej wiedzy </w:t>
            </w:r>
            <w:r w:rsidR="009013DF">
              <w:rPr>
                <w:rFonts w:ascii="Times New Roman" w:eastAsia="Calibri" w:hAnsi="Times New Roman" w:cs="Times New Roman"/>
                <w:sz w:val="20"/>
                <w:szCs w:val="20"/>
              </w:rPr>
              <w:t>ujętej w kolumnie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footnoteReference w:id="1"/>
            </w:r>
            <w:r w:rsidR="004C0732" w:rsidRPr="004C0732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,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footnoteReference w:id="2"/>
            </w:r>
          </w:p>
          <w:p w14:paraId="05B5A870" w14:textId="77777777" w:rsidR="00E11EBE" w:rsidRPr="0047045D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</w:p>
        </w:tc>
        <w:tc>
          <w:tcPr>
            <w:tcW w:w="3686" w:type="dxa"/>
            <w:shd w:val="clear" w:color="auto" w:fill="E2EFD9" w:themeFill="accent6" w:themeFillTint="33"/>
          </w:tcPr>
          <w:p w14:paraId="250B8EBB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76F6A31" w14:textId="40CBC0C8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</w:t>
            </w:r>
            <w:r w:rsidR="00E24B13">
              <w:rPr>
                <w:rFonts w:ascii="Times New Roman" w:eastAsia="Calibri" w:hAnsi="Times New Roman" w:cs="Times New Roman"/>
                <w:sz w:val="20"/>
                <w:szCs w:val="20"/>
              </w:rPr>
              <w:t>……………..</w:t>
            </w:r>
          </w:p>
          <w:p w14:paraId="1849B494" w14:textId="4867E958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18"/>
                <w:szCs w:val="18"/>
              </w:rPr>
              <w:t>Nazwa przedmiotu</w:t>
            </w:r>
            <w:r w:rsidR="003374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uczelnianego</w:t>
            </w:r>
          </w:p>
          <w:p w14:paraId="5EA15A98" w14:textId="77777777" w:rsidR="000E15FA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6F1D6856" w14:textId="77777777" w:rsidR="00E11EBE" w:rsidRPr="0047045D" w:rsidRDefault="00E11EBE" w:rsidP="009013DF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adekwatnie do zakresu wymaganej wiedzy </w:t>
            </w:r>
            <w:r w:rsidR="009013DF">
              <w:rPr>
                <w:rFonts w:ascii="Times New Roman" w:eastAsia="Calibri" w:hAnsi="Times New Roman" w:cs="Times New Roman"/>
                <w:sz w:val="20"/>
                <w:szCs w:val="20"/>
              </w:rPr>
              <w:t>ujętej w kolumnie</w:t>
            </w:r>
            <w:r w:rsidR="009013DF"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AA2DE4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5" w:type="dxa"/>
            <w:shd w:val="clear" w:color="auto" w:fill="E2EFD9" w:themeFill="accent6" w:themeFillTint="33"/>
          </w:tcPr>
          <w:p w14:paraId="56389364" w14:textId="77777777" w:rsidR="00E11EBE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37B4FC0" w14:textId="0244F31D" w:rsidR="00E11EBE" w:rsidRPr="00511D18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1D18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</w:t>
            </w:r>
            <w:r w:rsidR="00E24B13">
              <w:rPr>
                <w:rFonts w:ascii="Times New Roman" w:eastAsia="Calibri" w:hAnsi="Times New Roman" w:cs="Times New Roman"/>
                <w:sz w:val="20"/>
                <w:szCs w:val="20"/>
              </w:rPr>
              <w:t>…………….</w:t>
            </w:r>
          </w:p>
          <w:p w14:paraId="3CAF4C38" w14:textId="38DFA961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18"/>
                <w:szCs w:val="18"/>
              </w:rPr>
              <w:t>Nazwa przedmiotu</w:t>
            </w:r>
            <w:r w:rsidR="003374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uczelnianego</w:t>
            </w:r>
          </w:p>
          <w:p w14:paraId="2C0BE786" w14:textId="77777777" w:rsidR="000E15FA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5FBDB7B9" w14:textId="77777777" w:rsidR="00E11EBE" w:rsidRPr="0047045D" w:rsidRDefault="00E11EBE" w:rsidP="00AA2DE4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adekwatnie do zakresu wymaganej wiedzy </w:t>
            </w:r>
            <w:r w:rsidR="009013DF">
              <w:rPr>
                <w:rFonts w:ascii="Times New Roman" w:eastAsia="Calibri" w:hAnsi="Times New Roman" w:cs="Times New Roman"/>
                <w:sz w:val="20"/>
                <w:szCs w:val="20"/>
              </w:rPr>
              <w:t>ujętej w kolumnie</w:t>
            </w:r>
            <w:r w:rsidR="009013DF"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AA2DE4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E11EBE" w:rsidRPr="00615002" w14:paraId="6EA3D092" w14:textId="77777777" w:rsidTr="00E24B13">
        <w:trPr>
          <w:trHeight w:val="280"/>
          <w:tblHeader/>
        </w:trPr>
        <w:tc>
          <w:tcPr>
            <w:tcW w:w="4486" w:type="dxa"/>
            <w:shd w:val="clear" w:color="auto" w:fill="E2EFD9" w:themeFill="accent6" w:themeFillTint="33"/>
            <w:vAlign w:val="center"/>
          </w:tcPr>
          <w:p w14:paraId="48A9FA9C" w14:textId="77777777" w:rsidR="00E11EBE" w:rsidRPr="00615002" w:rsidRDefault="00E11EBE" w:rsidP="00615002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15002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36" w:type="dxa"/>
            <w:shd w:val="clear" w:color="auto" w:fill="E2EFD9" w:themeFill="accent6" w:themeFillTint="33"/>
            <w:vAlign w:val="center"/>
          </w:tcPr>
          <w:p w14:paraId="3C0017C0" w14:textId="77777777" w:rsidR="00E11EBE" w:rsidRPr="00615002" w:rsidRDefault="00E11EBE" w:rsidP="00615002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615002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</w:tcPr>
          <w:p w14:paraId="6A9BFBDC" w14:textId="77777777" w:rsidR="00E11EBE" w:rsidRPr="00615002" w:rsidRDefault="00E11EBE" w:rsidP="00615002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615002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3685" w:type="dxa"/>
            <w:shd w:val="clear" w:color="auto" w:fill="E2EFD9" w:themeFill="accent6" w:themeFillTint="33"/>
            <w:vAlign w:val="center"/>
          </w:tcPr>
          <w:p w14:paraId="7D1A2253" w14:textId="77777777" w:rsidR="00E11EBE" w:rsidRPr="00615002" w:rsidRDefault="00E11EBE" w:rsidP="00615002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615002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4</w:t>
            </w:r>
          </w:p>
        </w:tc>
      </w:tr>
      <w:tr w:rsidR="0017461E" w14:paraId="1D9D2E81" w14:textId="77777777" w:rsidTr="0017461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9"/>
        </w:trPr>
        <w:tc>
          <w:tcPr>
            <w:tcW w:w="15593" w:type="dxa"/>
            <w:gridSpan w:val="4"/>
            <w:shd w:val="clear" w:color="auto" w:fill="D9D9D9" w:themeFill="background1" w:themeFillShade="D9"/>
            <w:vAlign w:val="center"/>
          </w:tcPr>
          <w:p w14:paraId="693E7F0E" w14:textId="14B11C38" w:rsidR="0017461E" w:rsidRDefault="0017461E" w:rsidP="008A2B6A">
            <w:r w:rsidRPr="00435D24">
              <w:rPr>
                <w:rFonts w:ascii="Times New Roman" w:hAnsi="Times New Roman" w:cs="Times New Roman"/>
                <w:b/>
                <w:sz w:val="20"/>
                <w:szCs w:val="20"/>
              </w:rPr>
              <w:t>1.1. Przedmiot, zakres i zasady rachunkowości</w:t>
            </w:r>
          </w:p>
        </w:tc>
      </w:tr>
      <w:tr w:rsidR="004D414A" w14:paraId="47A787F8" w14:textId="77777777" w:rsidTr="00ED164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3"/>
        </w:trPr>
        <w:tc>
          <w:tcPr>
            <w:tcW w:w="4486" w:type="dxa"/>
          </w:tcPr>
          <w:p w14:paraId="3802C57A" w14:textId="77777777" w:rsidR="0017461E" w:rsidRPr="00435D24" w:rsidRDefault="0017461E" w:rsidP="0017461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>.1.1. Źródła regulacji prawnych kształtujących prawo bilansowe w Polsce.</w:t>
            </w:r>
          </w:p>
          <w:p w14:paraId="7B6D3FF1" w14:textId="77777777" w:rsidR="004D414A" w:rsidRPr="00435D24" w:rsidRDefault="004D414A" w:rsidP="003F6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36" w:type="dxa"/>
          </w:tcPr>
          <w:p w14:paraId="293B0926" w14:textId="77777777" w:rsidR="004D414A" w:rsidRDefault="004D414A" w:rsidP="008A2B6A"/>
        </w:tc>
        <w:tc>
          <w:tcPr>
            <w:tcW w:w="3686" w:type="dxa"/>
          </w:tcPr>
          <w:p w14:paraId="58DAAF60" w14:textId="77777777" w:rsidR="004D414A" w:rsidRDefault="004D414A" w:rsidP="008A2B6A"/>
        </w:tc>
        <w:tc>
          <w:tcPr>
            <w:tcW w:w="3685" w:type="dxa"/>
          </w:tcPr>
          <w:p w14:paraId="5886D508" w14:textId="77777777" w:rsidR="004D414A" w:rsidRDefault="004D414A" w:rsidP="008A2B6A"/>
        </w:tc>
      </w:tr>
      <w:tr w:rsidR="004D414A" w14:paraId="5534069D" w14:textId="77777777" w:rsidTr="00ED164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3"/>
        </w:trPr>
        <w:tc>
          <w:tcPr>
            <w:tcW w:w="4486" w:type="dxa"/>
          </w:tcPr>
          <w:p w14:paraId="52152244" w14:textId="77777777" w:rsidR="0017461E" w:rsidRPr="00435D24" w:rsidRDefault="0017461E" w:rsidP="0017461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1.1.2. </w:t>
            </w:r>
            <w:proofErr w:type="gramStart"/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>Rachunkowość,</w:t>
            </w:r>
            <w:proofErr w:type="gramEnd"/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jako element systemu informacyjnego jednostki.</w:t>
            </w:r>
          </w:p>
          <w:p w14:paraId="6EA10518" w14:textId="77777777" w:rsidR="004D414A" w:rsidRPr="00435D24" w:rsidRDefault="004D414A" w:rsidP="003F6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36" w:type="dxa"/>
          </w:tcPr>
          <w:p w14:paraId="324D5A43" w14:textId="77777777" w:rsidR="004D414A" w:rsidRDefault="004D414A" w:rsidP="008A2B6A"/>
        </w:tc>
        <w:tc>
          <w:tcPr>
            <w:tcW w:w="3686" w:type="dxa"/>
          </w:tcPr>
          <w:p w14:paraId="5C8C8F95" w14:textId="77777777" w:rsidR="004D414A" w:rsidRDefault="004D414A" w:rsidP="008A2B6A"/>
        </w:tc>
        <w:tc>
          <w:tcPr>
            <w:tcW w:w="3685" w:type="dxa"/>
          </w:tcPr>
          <w:p w14:paraId="176D3FC4" w14:textId="77777777" w:rsidR="004D414A" w:rsidRDefault="004D414A" w:rsidP="008A2B6A"/>
        </w:tc>
      </w:tr>
      <w:tr w:rsidR="004D414A" w14:paraId="32B695C8" w14:textId="77777777" w:rsidTr="00ED164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3"/>
        </w:trPr>
        <w:tc>
          <w:tcPr>
            <w:tcW w:w="4486" w:type="dxa"/>
          </w:tcPr>
          <w:p w14:paraId="564EDB1C" w14:textId="77777777" w:rsidR="004D414A" w:rsidRDefault="0017461E" w:rsidP="008B10E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>1.1.3. Podstawowe pojęcia i definicje oraz funkcje, zadania i części składowe rachunkowości.</w:t>
            </w:r>
          </w:p>
          <w:p w14:paraId="53B818C9" w14:textId="2585166A" w:rsidR="008B10E8" w:rsidRPr="00435D24" w:rsidRDefault="008B10E8" w:rsidP="008B10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36" w:type="dxa"/>
          </w:tcPr>
          <w:p w14:paraId="589BC4B7" w14:textId="77777777" w:rsidR="004D414A" w:rsidRDefault="004D414A" w:rsidP="008A2B6A"/>
        </w:tc>
        <w:tc>
          <w:tcPr>
            <w:tcW w:w="3686" w:type="dxa"/>
          </w:tcPr>
          <w:p w14:paraId="6AD67752" w14:textId="77777777" w:rsidR="004D414A" w:rsidRDefault="004D414A" w:rsidP="008A2B6A"/>
        </w:tc>
        <w:tc>
          <w:tcPr>
            <w:tcW w:w="3685" w:type="dxa"/>
          </w:tcPr>
          <w:p w14:paraId="40AC72A2" w14:textId="77777777" w:rsidR="004D414A" w:rsidRDefault="004D414A" w:rsidP="008A2B6A"/>
        </w:tc>
      </w:tr>
      <w:tr w:rsidR="004D414A" w14:paraId="57B35E2B" w14:textId="77777777" w:rsidTr="00ED164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3"/>
        </w:trPr>
        <w:tc>
          <w:tcPr>
            <w:tcW w:w="4486" w:type="dxa"/>
          </w:tcPr>
          <w:p w14:paraId="72A732F9" w14:textId="581B1EB0" w:rsidR="00CA151B" w:rsidRDefault="0017461E" w:rsidP="0012286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>1.1.4. Istota i znaczenie założeń koncepcyjnych i cech jako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ściowych sprawozdań finansowych</w:t>
            </w:r>
            <w:r w:rsidR="0070585E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  <w:p w14:paraId="1B2CDAFD" w14:textId="3E053ACF" w:rsidR="00122860" w:rsidRPr="00CA151B" w:rsidRDefault="00C04CAC" w:rsidP="0012286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="00122860" w:rsidRPr="00CA151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a) założenia koncepcyjne memoriału i kontynuacji działalności, </w:t>
            </w:r>
          </w:p>
          <w:p w14:paraId="22D9D8FB" w14:textId="508663FF" w:rsidR="00122860" w:rsidRPr="00CA151B" w:rsidRDefault="00C04CAC" w:rsidP="0012286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="00122860" w:rsidRPr="00CA151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b) główne cechy jakościowe sprawozdania finansowego, </w:t>
            </w:r>
          </w:p>
          <w:p w14:paraId="1A65CA16" w14:textId="5D02F7DF" w:rsidR="00122860" w:rsidRPr="00CA151B" w:rsidRDefault="00C04CAC" w:rsidP="0012286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  </w:t>
            </w:r>
            <w:r w:rsidR="00122860" w:rsidRPr="00CA151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c) nadrzędne zasady rachunkowości, </w:t>
            </w:r>
          </w:p>
          <w:p w14:paraId="2A6B8D34" w14:textId="5D9FF361" w:rsidR="0017461E" w:rsidRPr="00435D24" w:rsidRDefault="00C04CAC" w:rsidP="00122860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="00122860" w:rsidRPr="00CA151B">
              <w:rPr>
                <w:rFonts w:ascii="Times New Roman" w:hAnsi="Times New Roman" w:cs="Times New Roman"/>
                <w:bCs/>
                <w:sz w:val="20"/>
                <w:szCs w:val="20"/>
              </w:rPr>
              <w:t>d) ogólne metody wyceny składników bilansu.</w:t>
            </w:r>
          </w:p>
          <w:p w14:paraId="5653A692" w14:textId="77777777" w:rsidR="004D414A" w:rsidRPr="00435D24" w:rsidRDefault="004D414A" w:rsidP="003F6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36" w:type="dxa"/>
          </w:tcPr>
          <w:p w14:paraId="622A0834" w14:textId="77777777" w:rsidR="004D414A" w:rsidRDefault="004D414A" w:rsidP="008A2B6A"/>
        </w:tc>
        <w:tc>
          <w:tcPr>
            <w:tcW w:w="3686" w:type="dxa"/>
          </w:tcPr>
          <w:p w14:paraId="01899294" w14:textId="77777777" w:rsidR="004D414A" w:rsidRDefault="004D414A" w:rsidP="008A2B6A"/>
        </w:tc>
        <w:tc>
          <w:tcPr>
            <w:tcW w:w="3685" w:type="dxa"/>
          </w:tcPr>
          <w:p w14:paraId="15C8E985" w14:textId="77777777" w:rsidR="004D414A" w:rsidRDefault="004D414A" w:rsidP="008A2B6A"/>
        </w:tc>
      </w:tr>
      <w:tr w:rsidR="004D414A" w14:paraId="06BC2F91" w14:textId="77777777" w:rsidTr="00ED164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3"/>
        </w:trPr>
        <w:tc>
          <w:tcPr>
            <w:tcW w:w="4486" w:type="dxa"/>
          </w:tcPr>
          <w:p w14:paraId="4266E2A0" w14:textId="667CAD8E" w:rsidR="0017461E" w:rsidRDefault="0017461E" w:rsidP="0017461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>1.1.5. Harmonizacja rachunkowości</w:t>
            </w:r>
            <w:r w:rsidR="0070585E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  <w:p w14:paraId="3495DBC5" w14:textId="3F79D36B" w:rsidR="00CA151B" w:rsidRPr="00CA151B" w:rsidRDefault="00ED6DBF" w:rsidP="00CA151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="00CA151B" w:rsidRPr="00CA151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a) organizacje międzynarodowe zajmujące się harmonizacją rachunkowości, </w:t>
            </w:r>
          </w:p>
          <w:p w14:paraId="22D982D5" w14:textId="18C8B2B6" w:rsidR="00CA151B" w:rsidRPr="00CA151B" w:rsidRDefault="00ED6DBF" w:rsidP="00CA151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="00CA151B" w:rsidRPr="00CA151B">
              <w:rPr>
                <w:rFonts w:ascii="Times New Roman" w:hAnsi="Times New Roman" w:cs="Times New Roman"/>
                <w:bCs/>
                <w:sz w:val="20"/>
                <w:szCs w:val="20"/>
              </w:rPr>
              <w:t>b) rola, znaczenie i zastosowanie</w:t>
            </w:r>
            <w:r w:rsidR="0070585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CA151B" w:rsidRPr="00CA151B">
              <w:rPr>
                <w:rFonts w:ascii="Times New Roman" w:hAnsi="Times New Roman" w:cs="Times New Roman"/>
                <w:bCs/>
                <w:sz w:val="20"/>
                <w:szCs w:val="20"/>
              </w:rPr>
              <w:t>Międzynarodowych Standardów Rachunkowości i dyrektyw Unii Europejskiej dotyczących rachunkowości.</w:t>
            </w:r>
          </w:p>
          <w:p w14:paraId="6D4FD2DF" w14:textId="77777777" w:rsidR="004D414A" w:rsidRPr="00435D24" w:rsidRDefault="004D414A" w:rsidP="003F6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36" w:type="dxa"/>
          </w:tcPr>
          <w:p w14:paraId="2A5994B2" w14:textId="77777777" w:rsidR="004D414A" w:rsidRDefault="004D414A" w:rsidP="008A2B6A"/>
        </w:tc>
        <w:tc>
          <w:tcPr>
            <w:tcW w:w="3686" w:type="dxa"/>
          </w:tcPr>
          <w:p w14:paraId="49AA48DB" w14:textId="77777777" w:rsidR="004D414A" w:rsidRDefault="004D414A" w:rsidP="008A2B6A"/>
        </w:tc>
        <w:tc>
          <w:tcPr>
            <w:tcW w:w="3685" w:type="dxa"/>
          </w:tcPr>
          <w:p w14:paraId="24B9CB62" w14:textId="77777777" w:rsidR="004D414A" w:rsidRDefault="004D414A" w:rsidP="008A2B6A"/>
        </w:tc>
      </w:tr>
      <w:tr w:rsidR="00DA52B6" w14:paraId="6E07DE85" w14:textId="77777777" w:rsidTr="00ED164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15593" w:type="dxa"/>
            <w:gridSpan w:val="4"/>
            <w:shd w:val="clear" w:color="auto" w:fill="D9D9D9" w:themeFill="background1" w:themeFillShade="D9"/>
            <w:vAlign w:val="center"/>
          </w:tcPr>
          <w:p w14:paraId="6CE02567" w14:textId="1304976D" w:rsidR="00DA52B6" w:rsidRDefault="00DA52B6" w:rsidP="00ED1641">
            <w:pPr>
              <w:tabs>
                <w:tab w:val="left" w:pos="4631"/>
              </w:tabs>
            </w:pPr>
            <w:r w:rsidRPr="00435D24">
              <w:rPr>
                <w:rFonts w:ascii="Times New Roman" w:hAnsi="Times New Roman" w:cs="Times New Roman"/>
                <w:b/>
                <w:sz w:val="20"/>
                <w:szCs w:val="20"/>
              </w:rPr>
              <w:t>1.2. Bilans, rachunek zysków i strat oraz rachunek przepływów pieniężnych wg ustawy o rachunkowości</w:t>
            </w:r>
          </w:p>
        </w:tc>
      </w:tr>
      <w:tr w:rsidR="00DA52B6" w14:paraId="61DAFB3B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2140C369" w14:textId="1331CAC7" w:rsidR="00DA52B6" w:rsidRDefault="00DA52B6" w:rsidP="00DA52B6">
            <w:pPr>
              <w:tabs>
                <w:tab w:val="left" w:pos="4631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8338B">
              <w:rPr>
                <w:rFonts w:ascii="Times New Roman" w:hAnsi="Times New Roman" w:cs="Times New Roman"/>
                <w:bCs/>
                <w:sz w:val="20"/>
                <w:szCs w:val="20"/>
              </w:rPr>
              <w:t>1.2.1. Bilans</w:t>
            </w:r>
            <w:r w:rsidR="00142AC3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  <w:p w14:paraId="3C2B388C" w14:textId="783CE106" w:rsidR="009C63C6" w:rsidRPr="009C63C6" w:rsidRDefault="00C50506" w:rsidP="009C63C6">
            <w:pPr>
              <w:tabs>
                <w:tab w:val="left" w:pos="4631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="009C63C6">
              <w:rPr>
                <w:rFonts w:ascii="Times New Roman" w:hAnsi="Times New Roman" w:cs="Times New Roman"/>
                <w:bCs/>
                <w:sz w:val="20"/>
                <w:szCs w:val="20"/>
              </w:rPr>
              <w:t>1.2</w:t>
            </w:r>
            <w:r w:rsidR="00ED6DBF">
              <w:rPr>
                <w:rFonts w:ascii="Times New Roman" w:hAnsi="Times New Roman" w:cs="Times New Roman"/>
                <w:bCs/>
                <w:sz w:val="20"/>
                <w:szCs w:val="20"/>
              </w:rPr>
              <w:t>.1.</w:t>
            </w:r>
            <w:r w:rsidR="0070585E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  <w:r w:rsidR="00ED6DB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9C63C6" w:rsidRPr="009C63C6">
              <w:rPr>
                <w:rFonts w:ascii="Times New Roman" w:hAnsi="Times New Roman" w:cs="Times New Roman"/>
                <w:bCs/>
                <w:sz w:val="20"/>
                <w:szCs w:val="20"/>
              </w:rPr>
              <w:t>Równanie bilansowe – jego znaczenie i wykorzystanie w rachunkowości</w:t>
            </w:r>
            <w:r w:rsidR="00142AC3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14:paraId="61251D44" w14:textId="3FD3FA77" w:rsidR="009C63C6" w:rsidRPr="009C63C6" w:rsidRDefault="0070585E" w:rsidP="009C63C6">
            <w:pPr>
              <w:tabs>
                <w:tab w:val="left" w:pos="4631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="009C63C6" w:rsidRPr="009C63C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1.2.1.2. Kryteria kwalifikacji składników aktywów i zobowiązań. </w:t>
            </w:r>
          </w:p>
          <w:p w14:paraId="67E09257" w14:textId="00785768" w:rsidR="009C63C6" w:rsidRPr="009C63C6" w:rsidRDefault="0070585E" w:rsidP="009C63C6">
            <w:pPr>
              <w:tabs>
                <w:tab w:val="left" w:pos="4631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="009C63C6" w:rsidRPr="009C63C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1.2.1.3 Zasady wyceny poszczególnych składników bilansu na moment początkowego ujęcia oraz na dzień bilansowy. </w:t>
            </w:r>
          </w:p>
          <w:p w14:paraId="2D5B0F3D" w14:textId="480FBC75" w:rsidR="009C63C6" w:rsidRPr="009C63C6" w:rsidRDefault="0070585E" w:rsidP="009C63C6">
            <w:pPr>
              <w:tabs>
                <w:tab w:val="left" w:pos="4631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="009C63C6" w:rsidRPr="009C63C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1.2.1.4. Struktura aktywów bilansu jednostek (przedsiębiorstw) prowadzących działalność produkcyjną, usługową i handlową. </w:t>
            </w:r>
          </w:p>
          <w:p w14:paraId="196465C3" w14:textId="6FBD71C1" w:rsidR="009C63C6" w:rsidRPr="009C63C6" w:rsidRDefault="0070585E" w:rsidP="009C63C6">
            <w:pPr>
              <w:tabs>
                <w:tab w:val="left" w:pos="4631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="009C63C6" w:rsidRPr="009C63C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1.2.1.5. Struktura pasywów bilansu jednostek (przedsiębiorstw) prowadzących działalność produkcyjną, usługową i handlową. </w:t>
            </w:r>
          </w:p>
          <w:p w14:paraId="7D62F39E" w14:textId="25CAE03C" w:rsidR="009C63C6" w:rsidRPr="009C63C6" w:rsidRDefault="00C04CAC" w:rsidP="009C63C6">
            <w:pPr>
              <w:tabs>
                <w:tab w:val="left" w:pos="4631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="009C63C6" w:rsidRPr="009C63C6">
              <w:rPr>
                <w:rFonts w:ascii="Times New Roman" w:hAnsi="Times New Roman" w:cs="Times New Roman"/>
                <w:bCs/>
                <w:sz w:val="20"/>
                <w:szCs w:val="20"/>
              </w:rPr>
              <w:t>1.2.1.6. Zasady sporządzania bilansu, w tym uproszczonego bilansu dla jednostek małych i mikro.</w:t>
            </w:r>
          </w:p>
          <w:p w14:paraId="14F0415F" w14:textId="77777777" w:rsidR="00DA52B6" w:rsidRPr="00F8338B" w:rsidRDefault="00DA52B6" w:rsidP="00DA52B6">
            <w:pPr>
              <w:tabs>
                <w:tab w:val="left" w:pos="4631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36" w:type="dxa"/>
          </w:tcPr>
          <w:p w14:paraId="60088F75" w14:textId="77777777" w:rsidR="00DA52B6" w:rsidRDefault="00DA52B6" w:rsidP="008A2B6A"/>
        </w:tc>
        <w:tc>
          <w:tcPr>
            <w:tcW w:w="3686" w:type="dxa"/>
          </w:tcPr>
          <w:p w14:paraId="43747350" w14:textId="77777777" w:rsidR="00DA52B6" w:rsidRDefault="00DA52B6" w:rsidP="008A2B6A"/>
        </w:tc>
        <w:tc>
          <w:tcPr>
            <w:tcW w:w="3685" w:type="dxa"/>
          </w:tcPr>
          <w:p w14:paraId="6578AEE9" w14:textId="77777777" w:rsidR="00DA52B6" w:rsidRDefault="00DA52B6" w:rsidP="008A2B6A"/>
        </w:tc>
      </w:tr>
      <w:tr w:rsidR="000E6788" w14:paraId="77A04F75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35BD1F35" w14:textId="3A84C978" w:rsidR="000E6788" w:rsidRDefault="00DA52B6" w:rsidP="00DA52B6">
            <w:pPr>
              <w:tabs>
                <w:tab w:val="left" w:pos="4631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1.2.2. Rachunek zysków i strat</w:t>
            </w:r>
            <w:r w:rsidR="00142AC3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  <w:p w14:paraId="55CC28BF" w14:textId="67866B21" w:rsidR="00142AC3" w:rsidRDefault="00142AC3" w:rsidP="00DA52B6">
            <w:pPr>
              <w:tabs>
                <w:tab w:val="left" w:pos="4631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  </w:t>
            </w:r>
            <w:r w:rsidRPr="00142AC3">
              <w:rPr>
                <w:rFonts w:ascii="Times New Roman" w:hAnsi="Times New Roman" w:cs="Times New Roman"/>
                <w:bCs/>
                <w:sz w:val="20"/>
                <w:szCs w:val="20"/>
              </w:rPr>
              <w:t>1.2.2.1. Kryteria ujęcia przychodów i kosztów w rachunku zysków i strat.</w:t>
            </w:r>
          </w:p>
          <w:p w14:paraId="2B585F53" w14:textId="068042BC" w:rsidR="005157D4" w:rsidRPr="005157D4" w:rsidRDefault="005157D4" w:rsidP="005157D4">
            <w:pPr>
              <w:tabs>
                <w:tab w:val="left" w:pos="4631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5157D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1.2.2.2. Struktura rachunku zysków i strat. </w:t>
            </w:r>
          </w:p>
          <w:p w14:paraId="73450B08" w14:textId="597CABA7" w:rsidR="00142AC3" w:rsidRPr="00142AC3" w:rsidRDefault="005157D4" w:rsidP="00DA52B6">
            <w:pPr>
              <w:tabs>
                <w:tab w:val="left" w:pos="4631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5157D4">
              <w:rPr>
                <w:rFonts w:ascii="Times New Roman" w:hAnsi="Times New Roman" w:cs="Times New Roman"/>
                <w:bCs/>
                <w:sz w:val="20"/>
                <w:szCs w:val="20"/>
              </w:rPr>
              <w:t>1.2.2.3. Zasady sporządzania rachunku zysków i strat, w tym uproszczonego rachunku zysków i strat dla jednostek małych i mikro.</w:t>
            </w:r>
          </w:p>
          <w:p w14:paraId="2CF59BBF" w14:textId="77777777" w:rsidR="000E6788" w:rsidRPr="00435D24" w:rsidRDefault="000E6788" w:rsidP="000E678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36" w:type="dxa"/>
          </w:tcPr>
          <w:p w14:paraId="6564C647" w14:textId="77777777" w:rsidR="000E6788" w:rsidRDefault="000E6788" w:rsidP="008A2B6A"/>
        </w:tc>
        <w:tc>
          <w:tcPr>
            <w:tcW w:w="3686" w:type="dxa"/>
          </w:tcPr>
          <w:p w14:paraId="66176E1A" w14:textId="77777777" w:rsidR="000E6788" w:rsidRDefault="000E6788" w:rsidP="008A2B6A"/>
        </w:tc>
        <w:tc>
          <w:tcPr>
            <w:tcW w:w="3685" w:type="dxa"/>
          </w:tcPr>
          <w:p w14:paraId="2BE7D342" w14:textId="77777777" w:rsidR="000E6788" w:rsidRDefault="000E6788" w:rsidP="008A2B6A"/>
        </w:tc>
      </w:tr>
      <w:tr w:rsidR="000E6788" w14:paraId="503A1140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76DABCAC" w14:textId="5897E9BF" w:rsidR="00DA52B6" w:rsidRDefault="00DA52B6" w:rsidP="00DA52B6">
            <w:pPr>
              <w:tabs>
                <w:tab w:val="left" w:pos="4631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1.2.3. Rachunek przepływów pieniężnych</w:t>
            </w:r>
            <w:r w:rsidR="009D4C47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  <w:p w14:paraId="62C690CE" w14:textId="5E08435A" w:rsidR="009D4C47" w:rsidRPr="009D4C47" w:rsidRDefault="009D4C47" w:rsidP="009D4C47">
            <w:pPr>
              <w:tabs>
                <w:tab w:val="left" w:pos="4631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9D4C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1.2.3.1. Rachunek memoriałowy a rachunek kasowy. </w:t>
            </w:r>
          </w:p>
          <w:p w14:paraId="51D9C4E5" w14:textId="4952DC75" w:rsidR="009D4C47" w:rsidRPr="00F8338B" w:rsidRDefault="009D4C47" w:rsidP="009D4C47">
            <w:pPr>
              <w:tabs>
                <w:tab w:val="left" w:pos="4631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425B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9D4C4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1.2.3.2. Podstawowe kategorie przepływów pieniężnych.</w:t>
            </w:r>
          </w:p>
          <w:p w14:paraId="34E9F51B" w14:textId="77777777" w:rsidR="000E6788" w:rsidRPr="00435D24" w:rsidRDefault="000E6788" w:rsidP="000E678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36" w:type="dxa"/>
          </w:tcPr>
          <w:p w14:paraId="0E6CD68B" w14:textId="77777777" w:rsidR="000E6788" w:rsidRDefault="000E6788" w:rsidP="008A2B6A"/>
        </w:tc>
        <w:tc>
          <w:tcPr>
            <w:tcW w:w="3686" w:type="dxa"/>
          </w:tcPr>
          <w:p w14:paraId="006F3BC9" w14:textId="77777777" w:rsidR="000E6788" w:rsidRDefault="000E6788" w:rsidP="008A2B6A"/>
        </w:tc>
        <w:tc>
          <w:tcPr>
            <w:tcW w:w="3685" w:type="dxa"/>
          </w:tcPr>
          <w:p w14:paraId="465544B8" w14:textId="77777777" w:rsidR="000E6788" w:rsidRDefault="000E6788" w:rsidP="008A2B6A"/>
        </w:tc>
      </w:tr>
      <w:tr w:rsidR="000E6788" w14:paraId="43E2CA38" w14:textId="77777777" w:rsidTr="000E678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15593" w:type="dxa"/>
            <w:gridSpan w:val="4"/>
            <w:shd w:val="clear" w:color="auto" w:fill="D9D9D9" w:themeFill="background1" w:themeFillShade="D9"/>
            <w:vAlign w:val="center"/>
          </w:tcPr>
          <w:p w14:paraId="6E2606E1" w14:textId="054A1621" w:rsidR="000E6788" w:rsidRDefault="000E6788" w:rsidP="000E6788">
            <w:r w:rsidRPr="00435D24">
              <w:rPr>
                <w:rFonts w:ascii="Times New Roman" w:hAnsi="Times New Roman" w:cs="Times New Roman"/>
                <w:b/>
                <w:sz w:val="20"/>
                <w:szCs w:val="20"/>
              </w:rPr>
              <w:t>1.3. Zdarzenia gospodarcze (w tym operacje gospodarcze), zasady ich dokumentowania oraz ewidencji</w:t>
            </w:r>
          </w:p>
        </w:tc>
      </w:tr>
      <w:tr w:rsidR="000E6788" w14:paraId="0A627A7D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3E68C49F" w14:textId="77777777" w:rsidR="000E6788" w:rsidRPr="00435D24" w:rsidRDefault="000E6788" w:rsidP="000E678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>1.3.1. Rodzaje zdarzeń gospodarczych i ich wpływ na bilans.</w:t>
            </w:r>
          </w:p>
          <w:p w14:paraId="094E5FDC" w14:textId="77777777" w:rsidR="000E6788" w:rsidRPr="00435D24" w:rsidRDefault="000E6788" w:rsidP="000E678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36" w:type="dxa"/>
          </w:tcPr>
          <w:p w14:paraId="1EC030F3" w14:textId="77777777" w:rsidR="000E6788" w:rsidRDefault="000E6788" w:rsidP="008A2B6A"/>
        </w:tc>
        <w:tc>
          <w:tcPr>
            <w:tcW w:w="3686" w:type="dxa"/>
          </w:tcPr>
          <w:p w14:paraId="4E228C54" w14:textId="77777777" w:rsidR="000E6788" w:rsidRDefault="000E6788" w:rsidP="008A2B6A"/>
        </w:tc>
        <w:tc>
          <w:tcPr>
            <w:tcW w:w="3685" w:type="dxa"/>
          </w:tcPr>
          <w:p w14:paraId="1E6E593F" w14:textId="77777777" w:rsidR="000E6788" w:rsidRDefault="000E6788" w:rsidP="008A2B6A"/>
        </w:tc>
      </w:tr>
      <w:tr w:rsidR="000E6788" w14:paraId="6EAFADF7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484BC4B0" w14:textId="77777777" w:rsidR="000E6788" w:rsidRPr="00435D24" w:rsidRDefault="000E6788" w:rsidP="000E67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>1.3.2. Dokumentowanie zdarzeń gospodarczych; treść dowodów, korekta błędnie wystawionych dowodów księgowych</w:t>
            </w:r>
            <w:r w:rsidRPr="00435D2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547ACD3" w14:textId="77777777" w:rsidR="000E6788" w:rsidRPr="00435D24" w:rsidRDefault="000E6788" w:rsidP="000E678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36" w:type="dxa"/>
          </w:tcPr>
          <w:p w14:paraId="69BDE727" w14:textId="77777777" w:rsidR="000E6788" w:rsidRDefault="000E6788" w:rsidP="008A2B6A"/>
        </w:tc>
        <w:tc>
          <w:tcPr>
            <w:tcW w:w="3686" w:type="dxa"/>
          </w:tcPr>
          <w:p w14:paraId="3559AE77" w14:textId="77777777" w:rsidR="000E6788" w:rsidRDefault="000E6788" w:rsidP="008A2B6A"/>
        </w:tc>
        <w:tc>
          <w:tcPr>
            <w:tcW w:w="3685" w:type="dxa"/>
          </w:tcPr>
          <w:p w14:paraId="4C86E944" w14:textId="77777777" w:rsidR="000E6788" w:rsidRDefault="000E6788" w:rsidP="008A2B6A"/>
        </w:tc>
      </w:tr>
      <w:tr w:rsidR="000E6788" w14:paraId="66174E56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7A768EF5" w14:textId="77777777" w:rsidR="000E6788" w:rsidRPr="00435D24" w:rsidRDefault="000E6788" w:rsidP="000E678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>1.3.3. Kontrola i kwalifikowanie dowodów do ujęcia w księgach rachunkowych.</w:t>
            </w:r>
          </w:p>
          <w:p w14:paraId="2E506AFB" w14:textId="77777777" w:rsidR="000E6788" w:rsidRPr="00435D24" w:rsidRDefault="000E6788" w:rsidP="000E678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36" w:type="dxa"/>
          </w:tcPr>
          <w:p w14:paraId="5E24E95C" w14:textId="77777777" w:rsidR="000E6788" w:rsidRDefault="000E6788" w:rsidP="008A2B6A"/>
        </w:tc>
        <w:tc>
          <w:tcPr>
            <w:tcW w:w="3686" w:type="dxa"/>
          </w:tcPr>
          <w:p w14:paraId="491967E1" w14:textId="77777777" w:rsidR="000E6788" w:rsidRDefault="000E6788" w:rsidP="008A2B6A"/>
        </w:tc>
        <w:tc>
          <w:tcPr>
            <w:tcW w:w="3685" w:type="dxa"/>
          </w:tcPr>
          <w:p w14:paraId="6EB30D6F" w14:textId="77777777" w:rsidR="000E6788" w:rsidRDefault="000E6788" w:rsidP="008A2B6A"/>
        </w:tc>
      </w:tr>
      <w:tr w:rsidR="000E6788" w14:paraId="13273A9B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4BEB9B67" w14:textId="77777777" w:rsidR="000E6788" w:rsidRPr="00435D24" w:rsidRDefault="000E6788" w:rsidP="000E678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1.3.4. Zapisy księgowe, ich treść i struktura. </w:t>
            </w:r>
          </w:p>
          <w:p w14:paraId="53A51526" w14:textId="77777777" w:rsidR="000E6788" w:rsidRPr="00435D24" w:rsidRDefault="000E6788" w:rsidP="000E678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36" w:type="dxa"/>
          </w:tcPr>
          <w:p w14:paraId="7F294152" w14:textId="77777777" w:rsidR="000E6788" w:rsidRDefault="000E6788" w:rsidP="008A2B6A"/>
        </w:tc>
        <w:tc>
          <w:tcPr>
            <w:tcW w:w="3686" w:type="dxa"/>
          </w:tcPr>
          <w:p w14:paraId="6CBBE3EB" w14:textId="77777777" w:rsidR="000E6788" w:rsidRDefault="000E6788" w:rsidP="008A2B6A"/>
        </w:tc>
        <w:tc>
          <w:tcPr>
            <w:tcW w:w="3685" w:type="dxa"/>
          </w:tcPr>
          <w:p w14:paraId="7F239565" w14:textId="77777777" w:rsidR="000E6788" w:rsidRDefault="000E6788" w:rsidP="008A2B6A"/>
        </w:tc>
      </w:tr>
      <w:tr w:rsidR="00E01D34" w14:paraId="459286B9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5F16822D" w14:textId="3B3A946C" w:rsidR="000E6788" w:rsidRDefault="000E6788" w:rsidP="000E678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1.3.5. </w:t>
            </w:r>
            <w:proofErr w:type="gramStart"/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>Konto,</w:t>
            </w:r>
            <w:proofErr w:type="gramEnd"/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jako podstawowe urządzenie służące do ewidencji operacji gospodarczych</w:t>
            </w:r>
            <w:r w:rsidR="002735B3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  <w:p w14:paraId="1CF72E84" w14:textId="6FEC46CE" w:rsidR="002735B3" w:rsidRPr="002735B3" w:rsidRDefault="002735B3" w:rsidP="002735B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2735B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a) cechy, rodzaje i klasyfikacja kont, </w:t>
            </w:r>
          </w:p>
          <w:p w14:paraId="1ECF2161" w14:textId="05693FE8" w:rsidR="002735B3" w:rsidRPr="002735B3" w:rsidRDefault="002735B3" w:rsidP="002735B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2735B3">
              <w:rPr>
                <w:rFonts w:ascii="Times New Roman" w:hAnsi="Times New Roman" w:cs="Times New Roman"/>
                <w:bCs/>
                <w:sz w:val="20"/>
                <w:szCs w:val="20"/>
              </w:rPr>
              <w:t>b) podstawowe zasady funkcjonowania kont bilansowych, wynikowych i pozabilansowych.</w:t>
            </w:r>
          </w:p>
          <w:p w14:paraId="25024530" w14:textId="77777777" w:rsidR="00E01D34" w:rsidRPr="00435D24" w:rsidRDefault="00E01D34" w:rsidP="003F6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36" w:type="dxa"/>
          </w:tcPr>
          <w:p w14:paraId="63251A54" w14:textId="77777777" w:rsidR="00E01D34" w:rsidRDefault="00E01D34" w:rsidP="008A2B6A"/>
        </w:tc>
        <w:tc>
          <w:tcPr>
            <w:tcW w:w="3686" w:type="dxa"/>
          </w:tcPr>
          <w:p w14:paraId="216FF337" w14:textId="77777777" w:rsidR="00E01D34" w:rsidRDefault="00E01D34" w:rsidP="008A2B6A"/>
        </w:tc>
        <w:tc>
          <w:tcPr>
            <w:tcW w:w="3685" w:type="dxa"/>
          </w:tcPr>
          <w:p w14:paraId="5ED251A1" w14:textId="77777777" w:rsidR="00E01D34" w:rsidRDefault="00E01D34" w:rsidP="008A2B6A"/>
        </w:tc>
      </w:tr>
      <w:tr w:rsidR="00E01D34" w14:paraId="629CCDD5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53FA0045" w14:textId="77777777" w:rsidR="000E6788" w:rsidRPr="00435D24" w:rsidRDefault="000E6788" w:rsidP="000E67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1.3.6. Zasady ewidencji typowych operacji gospodarczych (bilansowych i wynikowych).</w:t>
            </w:r>
          </w:p>
          <w:p w14:paraId="70800CEB" w14:textId="77777777" w:rsidR="00E01D34" w:rsidRPr="00435D24" w:rsidRDefault="00E01D34" w:rsidP="003F6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36" w:type="dxa"/>
          </w:tcPr>
          <w:p w14:paraId="7B7C814A" w14:textId="77777777" w:rsidR="00E01D34" w:rsidRDefault="00E01D34" w:rsidP="008A2B6A"/>
        </w:tc>
        <w:tc>
          <w:tcPr>
            <w:tcW w:w="3686" w:type="dxa"/>
          </w:tcPr>
          <w:p w14:paraId="7278DFB4" w14:textId="77777777" w:rsidR="00E01D34" w:rsidRDefault="00E01D34" w:rsidP="008A2B6A"/>
        </w:tc>
        <w:tc>
          <w:tcPr>
            <w:tcW w:w="3685" w:type="dxa"/>
          </w:tcPr>
          <w:p w14:paraId="222AE4EB" w14:textId="77777777" w:rsidR="00E01D34" w:rsidRDefault="00E01D34" w:rsidP="008A2B6A"/>
        </w:tc>
      </w:tr>
      <w:tr w:rsidR="00E715DB" w14:paraId="07F626BE" w14:textId="77777777" w:rsidTr="00E715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15593" w:type="dxa"/>
            <w:gridSpan w:val="4"/>
            <w:shd w:val="clear" w:color="auto" w:fill="D9D9D9" w:themeFill="background1" w:themeFillShade="D9"/>
            <w:vAlign w:val="center"/>
          </w:tcPr>
          <w:p w14:paraId="76326FC1" w14:textId="0FFACB53" w:rsidR="00E715DB" w:rsidRDefault="00E715DB" w:rsidP="00E715DB">
            <w:r w:rsidRPr="00435D24">
              <w:rPr>
                <w:rFonts w:ascii="Times New Roman" w:hAnsi="Times New Roman" w:cs="Times New Roman"/>
                <w:b/>
                <w:sz w:val="20"/>
                <w:szCs w:val="20"/>
              </w:rPr>
              <w:t>1.4. Prowadzenie ksiąg rachunkowych z zastosowaniem technologii informacyjnych i systemów komputerowych</w:t>
            </w:r>
          </w:p>
        </w:tc>
      </w:tr>
      <w:tr w:rsidR="00E01D34" w14:paraId="5F7434A2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23D8CE73" w14:textId="77777777" w:rsidR="00E715DB" w:rsidRPr="00435D24" w:rsidRDefault="00E715DB" w:rsidP="00E715D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>1.4.1. Zakres podmiotowy obowiązku prowadzenia ksiąg rachunkowych.</w:t>
            </w:r>
          </w:p>
          <w:p w14:paraId="7629D090" w14:textId="77777777" w:rsidR="00E01D34" w:rsidRPr="00435D24" w:rsidRDefault="00E01D34" w:rsidP="003F6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36" w:type="dxa"/>
          </w:tcPr>
          <w:p w14:paraId="3D331CFC" w14:textId="77777777" w:rsidR="00E01D34" w:rsidRDefault="00E01D34" w:rsidP="008A2B6A"/>
        </w:tc>
        <w:tc>
          <w:tcPr>
            <w:tcW w:w="3686" w:type="dxa"/>
          </w:tcPr>
          <w:p w14:paraId="6CEBCABB" w14:textId="77777777" w:rsidR="00E01D34" w:rsidRDefault="00E01D34" w:rsidP="008A2B6A"/>
        </w:tc>
        <w:tc>
          <w:tcPr>
            <w:tcW w:w="3685" w:type="dxa"/>
          </w:tcPr>
          <w:p w14:paraId="2CCD6A4F" w14:textId="77777777" w:rsidR="00E01D34" w:rsidRDefault="00E01D34" w:rsidP="008A2B6A"/>
        </w:tc>
      </w:tr>
      <w:tr w:rsidR="00E01D34" w14:paraId="7FC46DB1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4A541D68" w14:textId="4A662819" w:rsidR="00E715DB" w:rsidRDefault="00E715DB" w:rsidP="00E715D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>1.4.2. Obligatoryjne elementy ksiąg rachunkowych prowadzonych z zastosowaniem technologii informacyjnych i systemów komputerowych</w:t>
            </w:r>
            <w:r w:rsidR="00AF16FC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  <w:p w14:paraId="34DBF26F" w14:textId="0073D509" w:rsidR="00AF16FC" w:rsidRPr="00AF16FC" w:rsidRDefault="00AF16FC" w:rsidP="00AF16F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AF16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a) dziennik (funkcje i zasady prowadzenia różnymi technikami księgowości), </w:t>
            </w:r>
          </w:p>
          <w:p w14:paraId="44DFB2B0" w14:textId="4C75753F" w:rsidR="00AF16FC" w:rsidRPr="00AF16FC" w:rsidRDefault="00AF16FC" w:rsidP="00AF16F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AF16FC">
              <w:rPr>
                <w:rFonts w:ascii="Times New Roman" w:hAnsi="Times New Roman" w:cs="Times New Roman"/>
                <w:bCs/>
                <w:sz w:val="20"/>
                <w:szCs w:val="20"/>
              </w:rPr>
              <w:t>b) konta księgi głównej (zasada podwójnego zapisu, funkcje kont księgi głównej, zasady i terminy</w:t>
            </w:r>
            <w:r w:rsidR="00EB0B4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AF16FC">
              <w:rPr>
                <w:rFonts w:ascii="Times New Roman" w:hAnsi="Times New Roman" w:cs="Times New Roman"/>
                <w:bCs/>
                <w:sz w:val="20"/>
                <w:szCs w:val="20"/>
              </w:rPr>
              <w:t>otwierania, prowadzenia i zamykania kont księgi</w:t>
            </w:r>
            <w:r w:rsidR="00EB0B4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AF16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głównej w różnych technikach księgowości), </w:t>
            </w:r>
          </w:p>
          <w:p w14:paraId="5570FDFF" w14:textId="3C58B3DF" w:rsidR="00AF16FC" w:rsidRPr="00AF16FC" w:rsidRDefault="00AF16FC" w:rsidP="00AF16F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AF16FC">
              <w:rPr>
                <w:rFonts w:ascii="Times New Roman" w:hAnsi="Times New Roman" w:cs="Times New Roman"/>
                <w:bCs/>
                <w:sz w:val="20"/>
                <w:szCs w:val="20"/>
              </w:rPr>
              <w:t>c) konta ksiąg pomocniczych (cele, formy i zakres prowadzenia kont ksiąg pomocniczych, sposoby prowadzenia kont ksiąg pomocniczych, zasady</w:t>
            </w:r>
            <w:r w:rsidR="002B674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AF16FC">
              <w:rPr>
                <w:rFonts w:ascii="Times New Roman" w:hAnsi="Times New Roman" w:cs="Times New Roman"/>
                <w:bCs/>
                <w:sz w:val="20"/>
                <w:szCs w:val="20"/>
              </w:rPr>
              <w:t>otwierania, prowadzenia i zamykania kont ksiąg</w:t>
            </w:r>
            <w:r w:rsidR="002B674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AF16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pomocniczych w różnych technikach księgowości), </w:t>
            </w:r>
          </w:p>
          <w:p w14:paraId="541E53E8" w14:textId="69EDFC1E" w:rsidR="00AF16FC" w:rsidRPr="00AF16FC" w:rsidRDefault="00AF16FC" w:rsidP="00AF16F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AF16FC">
              <w:rPr>
                <w:rFonts w:ascii="Times New Roman" w:hAnsi="Times New Roman" w:cs="Times New Roman"/>
                <w:bCs/>
                <w:sz w:val="20"/>
                <w:szCs w:val="20"/>
              </w:rPr>
              <w:t>d) zestawienie obrotów i sald kont księgi głównej</w:t>
            </w:r>
            <w:r w:rsidR="002B674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AF16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oraz zestawienie sald kont ksiąg pomocniczych, </w:t>
            </w:r>
          </w:p>
          <w:p w14:paraId="2A85C7D2" w14:textId="3B6C496E" w:rsidR="00AF16FC" w:rsidRPr="00AF16FC" w:rsidRDefault="00AF16FC" w:rsidP="00AF16F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AF16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e) zasady uzgadniania ksiąg rachunkowych, </w:t>
            </w:r>
          </w:p>
          <w:p w14:paraId="1217EB58" w14:textId="6016BF3F" w:rsidR="00AF16FC" w:rsidRPr="00435D24" w:rsidRDefault="00AF16FC" w:rsidP="00AF16F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425B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AF16F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f) poprawianie błędów księgowych.</w:t>
            </w:r>
          </w:p>
          <w:p w14:paraId="63808F17" w14:textId="77777777" w:rsidR="00E01D34" w:rsidRPr="00435D24" w:rsidRDefault="00E01D34" w:rsidP="003F6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36" w:type="dxa"/>
          </w:tcPr>
          <w:p w14:paraId="55FE4D48" w14:textId="77777777" w:rsidR="00E01D34" w:rsidRDefault="00E01D34" w:rsidP="008A2B6A"/>
        </w:tc>
        <w:tc>
          <w:tcPr>
            <w:tcW w:w="3686" w:type="dxa"/>
          </w:tcPr>
          <w:p w14:paraId="17E79A87" w14:textId="77777777" w:rsidR="00E01D34" w:rsidRDefault="00E01D34" w:rsidP="008A2B6A"/>
        </w:tc>
        <w:tc>
          <w:tcPr>
            <w:tcW w:w="3685" w:type="dxa"/>
          </w:tcPr>
          <w:p w14:paraId="2B1FD894" w14:textId="77777777" w:rsidR="00E01D34" w:rsidRDefault="00E01D34" w:rsidP="008A2B6A"/>
        </w:tc>
      </w:tr>
      <w:tr w:rsidR="00E01D34" w14:paraId="4A3D4657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218F431C" w14:textId="35D10DB4" w:rsidR="00E715DB" w:rsidRDefault="00E715DB" w:rsidP="00E715D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>1.4.3. Kryteria oceny systemów informatycznych rachunkowości</w:t>
            </w:r>
            <w:r w:rsidR="009D5686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  <w:p w14:paraId="33960A9C" w14:textId="1C2FCED5" w:rsidR="009D5686" w:rsidRPr="009D5686" w:rsidRDefault="009D5686" w:rsidP="009D568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9D5686">
              <w:rPr>
                <w:rFonts w:ascii="Times New Roman" w:hAnsi="Times New Roman" w:cs="Times New Roman"/>
                <w:bCs/>
                <w:sz w:val="20"/>
                <w:szCs w:val="20"/>
              </w:rPr>
              <w:t>a) sposób realizacji podstawowych zasad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9D568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księgowości podwójnej, </w:t>
            </w:r>
          </w:p>
          <w:p w14:paraId="1E21CA4E" w14:textId="0C2ED7A1" w:rsidR="009D5686" w:rsidRPr="009D5686" w:rsidRDefault="009D5686" w:rsidP="009D568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9D568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b) zgodność z przepisami prawa, </w:t>
            </w:r>
          </w:p>
          <w:p w14:paraId="2BC9AE8C" w14:textId="7C8BD53A" w:rsidR="009D5686" w:rsidRPr="009D5686" w:rsidRDefault="009D5686" w:rsidP="009D568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  </w:t>
            </w:r>
            <w:r w:rsidRPr="009D5686">
              <w:rPr>
                <w:rFonts w:ascii="Times New Roman" w:hAnsi="Times New Roman" w:cs="Times New Roman"/>
                <w:bCs/>
                <w:sz w:val="20"/>
                <w:szCs w:val="20"/>
              </w:rPr>
              <w:t>c) dostosowanie funkcji informacyjnych do potrzeb jednostki.</w:t>
            </w:r>
          </w:p>
          <w:p w14:paraId="02BC9D85" w14:textId="77777777" w:rsidR="00E01D34" w:rsidRPr="00435D24" w:rsidRDefault="00E01D34" w:rsidP="003F6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36" w:type="dxa"/>
          </w:tcPr>
          <w:p w14:paraId="18F3B25D" w14:textId="77777777" w:rsidR="00E01D34" w:rsidRDefault="00E01D34" w:rsidP="008A2B6A"/>
        </w:tc>
        <w:tc>
          <w:tcPr>
            <w:tcW w:w="3686" w:type="dxa"/>
          </w:tcPr>
          <w:p w14:paraId="580E525B" w14:textId="77777777" w:rsidR="00E01D34" w:rsidRDefault="00E01D34" w:rsidP="008A2B6A"/>
        </w:tc>
        <w:tc>
          <w:tcPr>
            <w:tcW w:w="3685" w:type="dxa"/>
          </w:tcPr>
          <w:p w14:paraId="387A6339" w14:textId="77777777" w:rsidR="00E01D34" w:rsidRDefault="00E01D34" w:rsidP="008A2B6A"/>
        </w:tc>
      </w:tr>
      <w:tr w:rsidR="00E01D34" w14:paraId="681B190F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6F9196F0" w14:textId="77777777" w:rsidR="00E715DB" w:rsidRPr="00435D24" w:rsidRDefault="00E715DB" w:rsidP="00E715D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>.4.4. Kryteria uznawania ksiąg rachunkowych za prowadzone rzetelnie, bezbłędnie,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>sprawdzalnie i bieżąco.</w:t>
            </w:r>
          </w:p>
          <w:p w14:paraId="4787330A" w14:textId="77777777" w:rsidR="00E01D34" w:rsidRPr="00435D24" w:rsidRDefault="00E01D34" w:rsidP="003F6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36" w:type="dxa"/>
          </w:tcPr>
          <w:p w14:paraId="28BDF35B" w14:textId="77777777" w:rsidR="00E01D34" w:rsidRDefault="00E01D34" w:rsidP="008A2B6A"/>
        </w:tc>
        <w:tc>
          <w:tcPr>
            <w:tcW w:w="3686" w:type="dxa"/>
          </w:tcPr>
          <w:p w14:paraId="1A2DB30B" w14:textId="77777777" w:rsidR="00E01D34" w:rsidRDefault="00E01D34" w:rsidP="008A2B6A"/>
        </w:tc>
        <w:tc>
          <w:tcPr>
            <w:tcW w:w="3685" w:type="dxa"/>
          </w:tcPr>
          <w:p w14:paraId="663A5D53" w14:textId="77777777" w:rsidR="00E01D34" w:rsidRDefault="00E01D34" w:rsidP="008A2B6A"/>
        </w:tc>
      </w:tr>
      <w:tr w:rsidR="00E01D34" w14:paraId="6AF1B953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3D496BD2" w14:textId="77777777" w:rsidR="00E715DB" w:rsidRPr="00435D24" w:rsidRDefault="00E715DB" w:rsidP="00E715D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>1.4.5. Miejsce prowadzenia i zasady przechowywania ksiąg rachunkowych.</w:t>
            </w:r>
          </w:p>
          <w:p w14:paraId="2091BDE9" w14:textId="77777777" w:rsidR="00E01D34" w:rsidRPr="00435D24" w:rsidRDefault="00E01D34" w:rsidP="003F6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36" w:type="dxa"/>
          </w:tcPr>
          <w:p w14:paraId="122F6578" w14:textId="77777777" w:rsidR="00E01D34" w:rsidRDefault="00E01D34" w:rsidP="008A2B6A"/>
        </w:tc>
        <w:tc>
          <w:tcPr>
            <w:tcW w:w="3686" w:type="dxa"/>
          </w:tcPr>
          <w:p w14:paraId="3F546D8F" w14:textId="77777777" w:rsidR="00E01D34" w:rsidRDefault="00E01D34" w:rsidP="008A2B6A"/>
        </w:tc>
        <w:tc>
          <w:tcPr>
            <w:tcW w:w="3685" w:type="dxa"/>
          </w:tcPr>
          <w:p w14:paraId="24FBCCEF" w14:textId="77777777" w:rsidR="00E01D34" w:rsidRDefault="00E01D34" w:rsidP="008A2B6A"/>
        </w:tc>
      </w:tr>
      <w:tr w:rsidR="00E01D34" w14:paraId="2FA958AE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528B527B" w14:textId="77777777" w:rsidR="00E715DB" w:rsidRPr="00435D24" w:rsidRDefault="00E715DB" w:rsidP="00E715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>1.4.6. Odpowiedzialność za prowadzenie ksiąg rachunkowych.</w:t>
            </w:r>
          </w:p>
          <w:p w14:paraId="4420A6AE" w14:textId="77777777" w:rsidR="00E01D34" w:rsidRPr="00435D24" w:rsidRDefault="00E01D34" w:rsidP="003F6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36" w:type="dxa"/>
          </w:tcPr>
          <w:p w14:paraId="33A74BFC" w14:textId="77777777" w:rsidR="00E01D34" w:rsidRDefault="00E01D34" w:rsidP="008A2B6A"/>
        </w:tc>
        <w:tc>
          <w:tcPr>
            <w:tcW w:w="3686" w:type="dxa"/>
          </w:tcPr>
          <w:p w14:paraId="341AD62B" w14:textId="77777777" w:rsidR="00E01D34" w:rsidRDefault="00E01D34" w:rsidP="008A2B6A"/>
        </w:tc>
        <w:tc>
          <w:tcPr>
            <w:tcW w:w="3685" w:type="dxa"/>
          </w:tcPr>
          <w:p w14:paraId="0496FE60" w14:textId="77777777" w:rsidR="00E01D34" w:rsidRDefault="00E01D34" w:rsidP="008A2B6A"/>
        </w:tc>
      </w:tr>
      <w:tr w:rsidR="00E01D34" w14:paraId="7477E90C" w14:textId="77777777" w:rsidTr="00E01D3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15593" w:type="dxa"/>
            <w:gridSpan w:val="4"/>
            <w:shd w:val="clear" w:color="auto" w:fill="D9D9D9" w:themeFill="background1" w:themeFillShade="D9"/>
            <w:vAlign w:val="center"/>
          </w:tcPr>
          <w:p w14:paraId="2221599F" w14:textId="6B7485F3" w:rsidR="00E01D34" w:rsidRDefault="00E01D34" w:rsidP="00E01D34">
            <w:r w:rsidRPr="00435D24">
              <w:rPr>
                <w:rFonts w:ascii="Times New Roman" w:hAnsi="Times New Roman" w:cs="Times New Roman"/>
                <w:b/>
                <w:sz w:val="20"/>
                <w:szCs w:val="20"/>
              </w:rPr>
              <w:t>1.5. Inwentaryzacja</w:t>
            </w:r>
          </w:p>
        </w:tc>
      </w:tr>
      <w:tr w:rsidR="002F5555" w14:paraId="5D8D8EC7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40C143F5" w14:textId="77777777" w:rsidR="00E01D34" w:rsidRDefault="00E01D34" w:rsidP="00E01D3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>1.5.1. Zasady, metody, techniki i terminy przeprowadzania inwentaryzacji aktywów i pasywów.</w:t>
            </w:r>
          </w:p>
          <w:p w14:paraId="1F0E397E" w14:textId="77777777" w:rsidR="00640E82" w:rsidRPr="00435D24" w:rsidRDefault="00640E82" w:rsidP="00E01D3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A5D6533" w14:textId="77777777" w:rsidR="002F5555" w:rsidRPr="00435D24" w:rsidRDefault="002F5555" w:rsidP="003F6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36" w:type="dxa"/>
          </w:tcPr>
          <w:p w14:paraId="4C004372" w14:textId="77777777" w:rsidR="002F5555" w:rsidRDefault="002F5555" w:rsidP="008A2B6A"/>
        </w:tc>
        <w:tc>
          <w:tcPr>
            <w:tcW w:w="3686" w:type="dxa"/>
          </w:tcPr>
          <w:p w14:paraId="41285829" w14:textId="77777777" w:rsidR="002F5555" w:rsidRDefault="002F5555" w:rsidP="008A2B6A"/>
        </w:tc>
        <w:tc>
          <w:tcPr>
            <w:tcW w:w="3685" w:type="dxa"/>
          </w:tcPr>
          <w:p w14:paraId="43CAFE60" w14:textId="77777777" w:rsidR="002F5555" w:rsidRDefault="002F5555" w:rsidP="008A2B6A"/>
        </w:tc>
      </w:tr>
      <w:tr w:rsidR="002F5555" w14:paraId="77E7BB5A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3A5F0D41" w14:textId="77777777" w:rsidR="002F5555" w:rsidRDefault="00E01D34" w:rsidP="00640E8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>1.5.2. Ustalanie oraz rozliczanie różnic inwentaryzacyjnych i ich ujęcie w księgach rachunkowych.</w:t>
            </w:r>
          </w:p>
          <w:p w14:paraId="44AF57AC" w14:textId="497F5617" w:rsidR="00640E82" w:rsidRPr="00435D24" w:rsidRDefault="00640E82" w:rsidP="00640E8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36" w:type="dxa"/>
          </w:tcPr>
          <w:p w14:paraId="15C32945" w14:textId="77777777" w:rsidR="002F5555" w:rsidRDefault="002F5555" w:rsidP="008A2B6A"/>
        </w:tc>
        <w:tc>
          <w:tcPr>
            <w:tcW w:w="3686" w:type="dxa"/>
          </w:tcPr>
          <w:p w14:paraId="7B12EFFD" w14:textId="77777777" w:rsidR="002F5555" w:rsidRDefault="002F5555" w:rsidP="008A2B6A"/>
        </w:tc>
        <w:tc>
          <w:tcPr>
            <w:tcW w:w="3685" w:type="dxa"/>
          </w:tcPr>
          <w:p w14:paraId="208DB865" w14:textId="77777777" w:rsidR="002F5555" w:rsidRDefault="002F5555" w:rsidP="008A2B6A"/>
        </w:tc>
      </w:tr>
      <w:tr w:rsidR="00E01D34" w14:paraId="28CC4008" w14:textId="77777777" w:rsidTr="00E01D3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15593" w:type="dxa"/>
            <w:gridSpan w:val="4"/>
            <w:shd w:val="clear" w:color="auto" w:fill="D9D9D9" w:themeFill="background1" w:themeFillShade="D9"/>
            <w:vAlign w:val="center"/>
          </w:tcPr>
          <w:p w14:paraId="3AB765E1" w14:textId="1EB4A3BD" w:rsidR="00E01D34" w:rsidRDefault="00E01D34" w:rsidP="00E01D34">
            <w:r w:rsidRPr="00435D24">
              <w:rPr>
                <w:rFonts w:ascii="Times New Roman" w:hAnsi="Times New Roman" w:cs="Times New Roman"/>
                <w:b/>
                <w:sz w:val="20"/>
                <w:szCs w:val="20"/>
              </w:rPr>
              <w:t>1.6. Elementy organizacji rachunkowości (dokumentacja i stosowanie)</w:t>
            </w:r>
          </w:p>
        </w:tc>
      </w:tr>
      <w:tr w:rsidR="002F5555" w14:paraId="35FCD531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42FADF19" w14:textId="77777777" w:rsidR="00E01D34" w:rsidRPr="00435D24" w:rsidRDefault="00E01D34" w:rsidP="00E01D3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.6.1. Wymogi ustawowe </w:t>
            </w:r>
            <w:proofErr w:type="gramStart"/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>odnośnie</w:t>
            </w:r>
            <w:proofErr w:type="gramEnd"/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dokumentacji przyjętych przez jednostkę zasad (polityki) rachunkowości.</w:t>
            </w:r>
          </w:p>
          <w:p w14:paraId="1BE066C1" w14:textId="77777777" w:rsidR="002F5555" w:rsidRPr="00435D24" w:rsidRDefault="002F5555" w:rsidP="003F6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36" w:type="dxa"/>
          </w:tcPr>
          <w:p w14:paraId="0AD2C45F" w14:textId="77777777" w:rsidR="002F5555" w:rsidRDefault="002F5555" w:rsidP="008A2B6A"/>
        </w:tc>
        <w:tc>
          <w:tcPr>
            <w:tcW w:w="3686" w:type="dxa"/>
          </w:tcPr>
          <w:p w14:paraId="52C42436" w14:textId="77777777" w:rsidR="002F5555" w:rsidRDefault="002F5555" w:rsidP="008A2B6A"/>
        </w:tc>
        <w:tc>
          <w:tcPr>
            <w:tcW w:w="3685" w:type="dxa"/>
          </w:tcPr>
          <w:p w14:paraId="49AE1232" w14:textId="77777777" w:rsidR="002F5555" w:rsidRDefault="002F5555" w:rsidP="008A2B6A"/>
        </w:tc>
      </w:tr>
      <w:tr w:rsidR="002F5555" w14:paraId="1763CE57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12DB375F" w14:textId="77777777" w:rsidR="00E01D34" w:rsidRPr="00435D24" w:rsidRDefault="00E01D34" w:rsidP="00E01D3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t>1.6.2. Dokumentacja zasad emisji, obiegu i kontroli dowodów księgowych.</w:t>
            </w:r>
          </w:p>
          <w:p w14:paraId="0428CE94" w14:textId="77777777" w:rsidR="002F5555" w:rsidRPr="00435D24" w:rsidRDefault="002F5555" w:rsidP="003F6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36" w:type="dxa"/>
          </w:tcPr>
          <w:p w14:paraId="2C89A4F6" w14:textId="77777777" w:rsidR="002F5555" w:rsidRDefault="002F5555" w:rsidP="008A2B6A"/>
        </w:tc>
        <w:tc>
          <w:tcPr>
            <w:tcW w:w="3686" w:type="dxa"/>
          </w:tcPr>
          <w:p w14:paraId="378A36C0" w14:textId="77777777" w:rsidR="002F5555" w:rsidRDefault="002F5555" w:rsidP="008A2B6A"/>
        </w:tc>
        <w:tc>
          <w:tcPr>
            <w:tcW w:w="3685" w:type="dxa"/>
          </w:tcPr>
          <w:p w14:paraId="4C63453B" w14:textId="77777777" w:rsidR="002F5555" w:rsidRDefault="002F5555" w:rsidP="008A2B6A"/>
        </w:tc>
      </w:tr>
      <w:tr w:rsidR="002F5555" w14:paraId="744C8202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4F50E245" w14:textId="77777777" w:rsidR="00E01D34" w:rsidRPr="00435D24" w:rsidRDefault="00E01D34" w:rsidP="00E01D3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1.6.3. Dokumentacja zasad, terminów i metod przeprowadzania inwentaryzacji.</w:t>
            </w:r>
          </w:p>
          <w:p w14:paraId="15A70B18" w14:textId="77777777" w:rsidR="002F5555" w:rsidRPr="00435D24" w:rsidRDefault="002F5555" w:rsidP="003F6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36" w:type="dxa"/>
          </w:tcPr>
          <w:p w14:paraId="44615C5A" w14:textId="77777777" w:rsidR="002F5555" w:rsidRDefault="002F5555" w:rsidP="008A2B6A"/>
        </w:tc>
        <w:tc>
          <w:tcPr>
            <w:tcW w:w="3686" w:type="dxa"/>
          </w:tcPr>
          <w:p w14:paraId="6620D138" w14:textId="77777777" w:rsidR="002F5555" w:rsidRDefault="002F5555" w:rsidP="008A2B6A"/>
        </w:tc>
        <w:tc>
          <w:tcPr>
            <w:tcW w:w="3685" w:type="dxa"/>
          </w:tcPr>
          <w:p w14:paraId="14073A19" w14:textId="77777777" w:rsidR="002F5555" w:rsidRDefault="002F5555" w:rsidP="008A2B6A"/>
        </w:tc>
      </w:tr>
      <w:tr w:rsidR="002F5555" w14:paraId="344F02F4" w14:textId="77777777" w:rsidTr="002F55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486" w:type="dxa"/>
          </w:tcPr>
          <w:p w14:paraId="5C6DD3C4" w14:textId="77777777" w:rsidR="00E01D34" w:rsidRPr="00435D24" w:rsidRDefault="00E01D34" w:rsidP="00E01D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5D24">
              <w:rPr>
                <w:rFonts w:ascii="Times New Roman" w:hAnsi="Times New Roman" w:cs="Times New Roman"/>
                <w:sz w:val="20"/>
                <w:szCs w:val="20"/>
              </w:rPr>
              <w:t>1.6.4. Dokumentacja organizacji i funkcjonowania kontroli wewnętrznej wspierającej system rachunkowości jednostki.</w:t>
            </w:r>
          </w:p>
          <w:p w14:paraId="23B4F609" w14:textId="77777777" w:rsidR="002F5555" w:rsidRPr="00435D24" w:rsidRDefault="002F5555" w:rsidP="003F6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36" w:type="dxa"/>
          </w:tcPr>
          <w:p w14:paraId="704F8BDC" w14:textId="77777777" w:rsidR="002F5555" w:rsidRDefault="002F5555" w:rsidP="008A2B6A"/>
        </w:tc>
        <w:tc>
          <w:tcPr>
            <w:tcW w:w="3686" w:type="dxa"/>
          </w:tcPr>
          <w:p w14:paraId="36B579E6" w14:textId="77777777" w:rsidR="002F5555" w:rsidRDefault="002F5555" w:rsidP="008A2B6A"/>
        </w:tc>
        <w:tc>
          <w:tcPr>
            <w:tcW w:w="3685" w:type="dxa"/>
          </w:tcPr>
          <w:p w14:paraId="6B123382" w14:textId="77777777" w:rsidR="002F5555" w:rsidRDefault="002F5555" w:rsidP="008A2B6A"/>
        </w:tc>
      </w:tr>
    </w:tbl>
    <w:p w14:paraId="320DCC5A" w14:textId="77777777" w:rsidR="00E11EBE" w:rsidRDefault="00E11EBE" w:rsidP="00E11EBE"/>
    <w:p w14:paraId="16DD6966" w14:textId="77777777" w:rsidR="00D479A1" w:rsidRDefault="00D479A1" w:rsidP="00E11EBE"/>
    <w:p w14:paraId="6B998137" w14:textId="5464BDBD" w:rsidR="003F665B" w:rsidRDefault="00615002" w:rsidP="00E11EBE">
      <w:pPr>
        <w:spacing w:after="0" w:line="240" w:lineRule="auto"/>
        <w:ind w:firstLine="11482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………………………………..</w:t>
      </w:r>
    </w:p>
    <w:p w14:paraId="7AFF06B9" w14:textId="2B0350AC" w:rsidR="003F665B" w:rsidRPr="00615002" w:rsidRDefault="00615002" w:rsidP="00615002">
      <w:pPr>
        <w:spacing w:after="0" w:line="240" w:lineRule="auto"/>
        <w:ind w:firstLine="12333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615002">
        <w:rPr>
          <w:rFonts w:ascii="Times New Roman" w:eastAsia="Times New Roman" w:hAnsi="Times New Roman" w:cs="Times New Roman"/>
          <w:sz w:val="18"/>
          <w:szCs w:val="18"/>
          <w:lang w:eastAsia="pl-PL"/>
        </w:rPr>
        <w:t>(data sporządzenia)</w:t>
      </w:r>
    </w:p>
    <w:p w14:paraId="24B1EF34" w14:textId="77777777" w:rsidR="003F665B" w:rsidRDefault="003F665B" w:rsidP="00E11EBE">
      <w:pPr>
        <w:spacing w:after="0" w:line="240" w:lineRule="auto"/>
        <w:ind w:firstLine="11482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59326B71" w14:textId="77777777" w:rsidR="003F665B" w:rsidRDefault="003F665B" w:rsidP="00E11EBE">
      <w:pPr>
        <w:spacing w:after="0" w:line="240" w:lineRule="auto"/>
        <w:ind w:firstLine="11482"/>
        <w:rPr>
          <w:rFonts w:ascii="Times New Roman" w:eastAsia="Times New Roman" w:hAnsi="Times New Roman" w:cs="Times New Roman"/>
          <w:szCs w:val="24"/>
          <w:lang w:eastAsia="pl-PL"/>
        </w:rPr>
      </w:pPr>
    </w:p>
    <w:sectPr w:rsidR="003F665B" w:rsidSect="00640E82">
      <w:footerReference w:type="default" r:id="rId6"/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1809C" w14:textId="77777777" w:rsidR="006A4924" w:rsidRDefault="006A4924" w:rsidP="00E11EBE">
      <w:pPr>
        <w:spacing w:after="0" w:line="240" w:lineRule="auto"/>
      </w:pPr>
      <w:r>
        <w:separator/>
      </w:r>
    </w:p>
  </w:endnote>
  <w:endnote w:type="continuationSeparator" w:id="0">
    <w:p w14:paraId="2BD04AC0" w14:textId="77777777" w:rsidR="006A4924" w:rsidRDefault="006A4924" w:rsidP="00E11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853568073"/>
      <w:docPartObj>
        <w:docPartGallery w:val="Page Numbers (Bottom of Page)"/>
        <w:docPartUnique/>
      </w:docPartObj>
    </w:sdtPr>
    <w:sdtEndPr/>
    <w:sdtContent>
      <w:p w14:paraId="222FF518" w14:textId="682ECD8C" w:rsidR="00640E82" w:rsidRPr="00640E82" w:rsidRDefault="00640E82">
        <w:pPr>
          <w:pStyle w:val="Stopka"/>
          <w:jc w:val="right"/>
          <w:rPr>
            <w:rFonts w:ascii="Times New Roman" w:hAnsi="Times New Roman" w:cs="Times New Roman"/>
          </w:rPr>
        </w:pPr>
        <w:r w:rsidRPr="00640E82">
          <w:rPr>
            <w:rFonts w:ascii="Times New Roman" w:hAnsi="Times New Roman" w:cs="Times New Roman"/>
          </w:rPr>
          <w:fldChar w:fldCharType="begin"/>
        </w:r>
        <w:r w:rsidRPr="00640E82">
          <w:rPr>
            <w:rFonts w:ascii="Times New Roman" w:hAnsi="Times New Roman" w:cs="Times New Roman"/>
          </w:rPr>
          <w:instrText>PAGE   \* MERGEFORMAT</w:instrText>
        </w:r>
        <w:r w:rsidRPr="00640E82">
          <w:rPr>
            <w:rFonts w:ascii="Times New Roman" w:hAnsi="Times New Roman" w:cs="Times New Roman"/>
          </w:rPr>
          <w:fldChar w:fldCharType="separate"/>
        </w:r>
        <w:r w:rsidRPr="00640E82">
          <w:rPr>
            <w:rFonts w:ascii="Times New Roman" w:hAnsi="Times New Roman" w:cs="Times New Roman"/>
          </w:rPr>
          <w:t>2</w:t>
        </w:r>
        <w:r w:rsidRPr="00640E82">
          <w:rPr>
            <w:rFonts w:ascii="Times New Roman" w:hAnsi="Times New Roman" w:cs="Times New Roman"/>
          </w:rPr>
          <w:fldChar w:fldCharType="end"/>
        </w:r>
      </w:p>
    </w:sdtContent>
  </w:sdt>
  <w:p w14:paraId="76BB168C" w14:textId="77777777" w:rsidR="00640E82" w:rsidRDefault="00640E8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3AC8F" w14:textId="77777777" w:rsidR="006A4924" w:rsidRDefault="006A4924" w:rsidP="00E11EBE">
      <w:pPr>
        <w:spacing w:after="0" w:line="240" w:lineRule="auto"/>
      </w:pPr>
      <w:r>
        <w:separator/>
      </w:r>
    </w:p>
  </w:footnote>
  <w:footnote w:type="continuationSeparator" w:id="0">
    <w:p w14:paraId="7FCD8131" w14:textId="77777777" w:rsidR="006A4924" w:rsidRDefault="006A4924" w:rsidP="00E11EBE">
      <w:pPr>
        <w:spacing w:after="0" w:line="240" w:lineRule="auto"/>
      </w:pPr>
      <w:r>
        <w:continuationSeparator/>
      </w:r>
    </w:p>
  </w:footnote>
  <w:footnote w:id="1">
    <w:p w14:paraId="656EE0B1" w14:textId="34F7BAF3" w:rsidR="00E11EBE" w:rsidRDefault="00E11EBE" w:rsidP="00E11EB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3A9A">
        <w:rPr>
          <w:sz w:val="18"/>
          <w:szCs w:val="18"/>
        </w:rPr>
        <w:t>Wpisuje się treści wynikające z sylabusa/karty, które odpowiadają zakresowi wiedzy wymaganemu przez Komisję Egzaminacyjną.</w:t>
      </w:r>
    </w:p>
  </w:footnote>
  <w:footnote w:id="2">
    <w:p w14:paraId="69AED352" w14:textId="2FB5837C" w:rsidR="00E11EBE" w:rsidRPr="00514384" w:rsidRDefault="00E11EBE" w:rsidP="00E11EBE">
      <w:pPr>
        <w:pStyle w:val="Tekstprzypisudolnego"/>
        <w:rPr>
          <w:strike/>
        </w:rPr>
      </w:pPr>
      <w:r>
        <w:rPr>
          <w:rStyle w:val="Odwoanieprzypisudolnego"/>
        </w:rPr>
        <w:footnoteRef/>
      </w:r>
      <w:r w:rsidRPr="00854369">
        <w:t xml:space="preserve"> </w:t>
      </w:r>
      <w:r w:rsidRPr="00854369">
        <w:rPr>
          <w:sz w:val="18"/>
          <w:szCs w:val="18"/>
        </w:rPr>
        <w:t>W przypadku wskazania większej (niż 3) liczby przedmiotów składających się na egzamin objęty postępowaniem kwalifikacyjnym należy dołączyć i wypełnić kolejne kolumny matrycy.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EBE"/>
    <w:rsid w:val="00054663"/>
    <w:rsid w:val="00090042"/>
    <w:rsid w:val="00091375"/>
    <w:rsid w:val="000E15FA"/>
    <w:rsid w:val="000E6788"/>
    <w:rsid w:val="00103B40"/>
    <w:rsid w:val="00122860"/>
    <w:rsid w:val="00142AC3"/>
    <w:rsid w:val="0017461E"/>
    <w:rsid w:val="001D5C4F"/>
    <w:rsid w:val="001F3FBA"/>
    <w:rsid w:val="00242485"/>
    <w:rsid w:val="002735B3"/>
    <w:rsid w:val="00290D98"/>
    <w:rsid w:val="002B6744"/>
    <w:rsid w:val="002B7583"/>
    <w:rsid w:val="002C334C"/>
    <w:rsid w:val="002D42E0"/>
    <w:rsid w:val="002F5555"/>
    <w:rsid w:val="0033746E"/>
    <w:rsid w:val="00370388"/>
    <w:rsid w:val="003F665B"/>
    <w:rsid w:val="00417DB2"/>
    <w:rsid w:val="00426C24"/>
    <w:rsid w:val="00452C98"/>
    <w:rsid w:val="004C0732"/>
    <w:rsid w:val="004D414A"/>
    <w:rsid w:val="00501CD3"/>
    <w:rsid w:val="005157D4"/>
    <w:rsid w:val="00537CE8"/>
    <w:rsid w:val="00542121"/>
    <w:rsid w:val="0056396C"/>
    <w:rsid w:val="005C7C1A"/>
    <w:rsid w:val="00615002"/>
    <w:rsid w:val="00640E82"/>
    <w:rsid w:val="006A4924"/>
    <w:rsid w:val="006C5079"/>
    <w:rsid w:val="0070585E"/>
    <w:rsid w:val="007573FD"/>
    <w:rsid w:val="007576FF"/>
    <w:rsid w:val="00772E08"/>
    <w:rsid w:val="00852EA2"/>
    <w:rsid w:val="00860A5B"/>
    <w:rsid w:val="00885A95"/>
    <w:rsid w:val="008B10E8"/>
    <w:rsid w:val="008B7479"/>
    <w:rsid w:val="008F55C5"/>
    <w:rsid w:val="009013DF"/>
    <w:rsid w:val="0094640C"/>
    <w:rsid w:val="009C63C6"/>
    <w:rsid w:val="009D4C47"/>
    <w:rsid w:val="009D5686"/>
    <w:rsid w:val="009F6A92"/>
    <w:rsid w:val="00A772C6"/>
    <w:rsid w:val="00A81860"/>
    <w:rsid w:val="00AA2DE4"/>
    <w:rsid w:val="00AB2F8C"/>
    <w:rsid w:val="00AC57DA"/>
    <w:rsid w:val="00AD4907"/>
    <w:rsid w:val="00AE360F"/>
    <w:rsid w:val="00AF16FC"/>
    <w:rsid w:val="00B155F6"/>
    <w:rsid w:val="00BD3082"/>
    <w:rsid w:val="00C04CAC"/>
    <w:rsid w:val="00C07F5A"/>
    <w:rsid w:val="00C23397"/>
    <w:rsid w:val="00C45CA8"/>
    <w:rsid w:val="00C50506"/>
    <w:rsid w:val="00C540A1"/>
    <w:rsid w:val="00CA151B"/>
    <w:rsid w:val="00D425B3"/>
    <w:rsid w:val="00D479A1"/>
    <w:rsid w:val="00D63D4C"/>
    <w:rsid w:val="00DA52B6"/>
    <w:rsid w:val="00DA7EC4"/>
    <w:rsid w:val="00E01D34"/>
    <w:rsid w:val="00E02DA1"/>
    <w:rsid w:val="00E11EBE"/>
    <w:rsid w:val="00E24B13"/>
    <w:rsid w:val="00E715DB"/>
    <w:rsid w:val="00E93DFD"/>
    <w:rsid w:val="00EA2990"/>
    <w:rsid w:val="00EB0B48"/>
    <w:rsid w:val="00EB22B1"/>
    <w:rsid w:val="00ED1641"/>
    <w:rsid w:val="00ED6DBF"/>
    <w:rsid w:val="00F8338B"/>
    <w:rsid w:val="00F8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F5049"/>
  <w15:chartTrackingRefBased/>
  <w15:docId w15:val="{2E0261E8-CA1F-4EAB-A228-DFF97E233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1E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rsid w:val="00E11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rsid w:val="00E11E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11EB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E11EBE"/>
    <w:rPr>
      <w:vertAlign w:val="superscript"/>
    </w:rPr>
  </w:style>
  <w:style w:type="table" w:styleId="Tabela-Siatka">
    <w:name w:val="Table Grid"/>
    <w:basedOn w:val="Standardowy"/>
    <w:uiPriority w:val="39"/>
    <w:rsid w:val="00E11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85A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5A9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B747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40E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0E82"/>
  </w:style>
  <w:style w:type="paragraph" w:styleId="Stopka">
    <w:name w:val="footer"/>
    <w:basedOn w:val="Normalny"/>
    <w:link w:val="StopkaZnak"/>
    <w:uiPriority w:val="99"/>
    <w:unhideWhenUsed/>
    <w:rsid w:val="00640E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0E82"/>
  </w:style>
  <w:style w:type="paragraph" w:styleId="NormalnyWeb">
    <w:name w:val="Normal (Web)"/>
    <w:basedOn w:val="Normalny"/>
    <w:uiPriority w:val="99"/>
    <w:semiHidden/>
    <w:unhideWhenUsed/>
    <w:rsid w:val="00D42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75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856</Words>
  <Characters>5141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Tomasz Kociołek</dc:creator>
  <cp:keywords/>
  <dc:description/>
  <cp:lastModifiedBy>Anna Sztuczka</cp:lastModifiedBy>
  <cp:revision>3</cp:revision>
  <cp:lastPrinted>2022-08-04T12:21:00Z</cp:lastPrinted>
  <dcterms:created xsi:type="dcterms:W3CDTF">2026-09-28T13:02:00Z</dcterms:created>
  <dcterms:modified xsi:type="dcterms:W3CDTF">2026-09-28T13:04:00Z</dcterms:modified>
</cp:coreProperties>
</file>